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C024" w14:textId="04F1E85A" w:rsidR="00C92384" w:rsidRPr="00E2272D" w:rsidRDefault="00814778" w:rsidP="00203DFB">
      <w:pPr>
        <w:jc w:val="center"/>
        <w:rPr>
          <w:rFonts w:ascii="Source Serif Pro" w:hAnsi="Source Serif Pro" w:cs="Arial"/>
          <w:color w:val="B98D46"/>
          <w:sz w:val="40"/>
        </w:rPr>
      </w:pPr>
      <w:r w:rsidRPr="00E2272D">
        <w:rPr>
          <w:rFonts w:ascii="Source Serif Pro Light" w:hAnsi="Source Serif Pro Light" w:cs="Arial"/>
          <w:noProof/>
          <w:color w:val="1B2235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" strokecolor="#1b2235" strokeweight=".5pt">
                <v:stroke joinstyle="miter"/>
              </v:line>
            </w:pict>
          </mc:Fallback>
        </mc:AlternateContent>
      </w:r>
      <w:r w:rsidR="00D23559" w:rsidRPr="00E2272D">
        <w:rPr>
          <w:rFonts w:ascii="Source Serif Pro" w:hAnsi="Source Serif Pro" w:cs="Arial"/>
          <w:color w:val="B98D46"/>
          <w:sz w:val="40"/>
        </w:rPr>
        <w:t>Talking Points</w:t>
      </w:r>
      <w:r w:rsidR="00203DFB">
        <w:rPr>
          <w:rFonts w:ascii="Source Serif Pro" w:hAnsi="Source Serif Pro" w:cs="Arial"/>
          <w:color w:val="B98D46"/>
          <w:sz w:val="40"/>
        </w:rPr>
        <w:t xml:space="preserve">: </w:t>
      </w:r>
      <w:r w:rsidR="000474E8">
        <w:rPr>
          <w:rFonts w:ascii="Source Serif Pro" w:hAnsi="Source Serif Pro" w:cs="Arial"/>
          <w:color w:val="B98D46"/>
          <w:sz w:val="40"/>
        </w:rPr>
        <w:t>California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18E2020B" w:rsidR="00335F57" w:rsidRPr="00003489" w:rsidRDefault="00335F57">
      <w:p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These talking points are meant to be used during conversations with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California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lawmakers, potential allies and the media. </w:t>
      </w:r>
    </w:p>
    <w:p w14:paraId="1F489F70" w14:textId="77777777" w:rsidR="00801155" w:rsidRPr="00003489" w:rsidRDefault="00801155" w:rsidP="00C92384">
      <w:pPr>
        <w:rPr>
          <w:rFonts w:ascii="Source Serif Pro Light" w:hAnsi="Source Serif Pro Light" w:cs="Arial"/>
          <w:color w:val="1B2235"/>
          <w:sz w:val="22"/>
          <w:szCs w:val="22"/>
        </w:rPr>
      </w:pPr>
    </w:p>
    <w:p w14:paraId="06A5AAFE" w14:textId="1501811E" w:rsidR="00FC11E8" w:rsidRPr="00003489" w:rsidRDefault="00EC23E2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>It’s no secret that a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growing number of working families are struggling to find housing they can afford. </w:t>
      </w:r>
      <w:r w:rsidR="000E3657" w:rsidRPr="00003489">
        <w:rPr>
          <w:rFonts w:ascii="Source Serif Pro Light" w:hAnsi="Source Serif Pro Light" w:cs="Arial"/>
          <w:color w:val="1B2235"/>
          <w:sz w:val="22"/>
          <w:szCs w:val="22"/>
        </w:rPr>
        <w:t>It is a clear strain on families that must be addressed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. </w:t>
      </w:r>
    </w:p>
    <w:p w14:paraId="25E9254A" w14:textId="77777777" w:rsidR="00EC23E2" w:rsidRPr="00003489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  <w:szCs w:val="22"/>
        </w:rPr>
      </w:pPr>
    </w:p>
    <w:p w14:paraId="5E972288" w14:textId="11A81B9D" w:rsidR="00FC11E8" w:rsidRPr="00003489" w:rsidRDefault="00F03CC1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>
        <w:rPr>
          <w:rFonts w:ascii="Source Serif Pro Light" w:hAnsi="Source Serif Pro Light" w:cs="Arial"/>
          <w:color w:val="1B2235"/>
          <w:sz w:val="22"/>
          <w:szCs w:val="22"/>
        </w:rPr>
        <w:t>Over</w:t>
      </w:r>
      <w:r w:rsidR="00003489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55%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of </w:t>
      </w:r>
      <w:proofErr w:type="spellStart"/>
      <w:r w:rsidR="00003489" w:rsidRPr="00003489">
        <w:rPr>
          <w:rFonts w:ascii="Source Serif Pro Light" w:hAnsi="Source Serif Pro Light" w:cs="Arial"/>
          <w:color w:val="1B2235"/>
          <w:sz w:val="22"/>
          <w:szCs w:val="22"/>
        </w:rPr>
        <w:t>Californina</w:t>
      </w:r>
      <w:proofErr w:type="spellEnd"/>
      <w:r w:rsidR="00003489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apartment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households </w:t>
      </w:r>
      <w:r w:rsidR="00003489" w:rsidRPr="00003489">
        <w:rPr>
          <w:rFonts w:ascii="Source Serif Pro Light" w:hAnsi="Source Serif Pro Light" w:cs="Arial"/>
          <w:color w:val="1B2235"/>
          <w:sz w:val="22"/>
          <w:szCs w:val="22"/>
        </w:rPr>
        <w:t>pay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more than 30 percent of their income on housing costs</w:t>
      </w:r>
      <w:r w:rsidR="00EC23E2" w:rsidRPr="00003489">
        <w:rPr>
          <w:rFonts w:ascii="Source Serif Pro Light" w:hAnsi="Source Serif Pro Light" w:cs="Arial"/>
          <w:color w:val="1B2235"/>
          <w:sz w:val="22"/>
          <w:szCs w:val="22"/>
        </w:rPr>
        <w:t>.</w:t>
      </w:r>
      <w:r w:rsidR="000E365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That’s simply too much.</w:t>
      </w:r>
      <w:r w:rsidR="00335F5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On top of that, 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>from 2000</w:t>
      </w:r>
      <w:r w:rsidR="00383C46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to 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>2015</w:t>
      </w:r>
      <w:r w:rsidR="00383C46" w:rsidRPr="00003489">
        <w:rPr>
          <w:rFonts w:ascii="Source Serif Pro Light" w:hAnsi="Source Serif Pro Light" w:cs="Arial"/>
          <w:color w:val="1B2235"/>
          <w:sz w:val="22"/>
          <w:szCs w:val="22"/>
        </w:rPr>
        <w:t>,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23 states </w:t>
      </w:r>
      <w:hyperlink r:id="rId7" w:history="1">
        <w:r w:rsidR="00A82A87" w:rsidRPr="00003489">
          <w:rPr>
            <w:rStyle w:val="Hyperlink"/>
            <w:rFonts w:ascii="Source Serif Pro Light" w:hAnsi="Source Serif Pro Light" w:cs="Arial"/>
            <w:color w:val="1B2235"/>
            <w:sz w:val="22"/>
            <w:szCs w:val="22"/>
          </w:rPr>
          <w:t>under-produced housing</w:t>
        </w:r>
      </w:hyperlink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to the tune of 7.3 million units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, including over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3.3 million just in California</w:t>
      </w:r>
      <w:r w:rsidR="006F40AA" w:rsidRPr="00003489">
        <w:rPr>
          <w:rFonts w:ascii="Source Serif Pro Light" w:hAnsi="Source Serif Pro Light" w:cs="Arial"/>
          <w:color w:val="1B2235"/>
          <w:sz w:val="22"/>
          <w:szCs w:val="22"/>
        </w:rPr>
        <w:t>,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which has created a </w:t>
      </w:r>
      <w:r w:rsidR="00383C46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significant 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>supply and demand imbalance that is reflected in today’s home prices.</w:t>
      </w:r>
    </w:p>
    <w:p w14:paraId="674EB10C" w14:textId="77777777" w:rsidR="00FC11E8" w:rsidRPr="00003489" w:rsidRDefault="00FC11E8" w:rsidP="00203DFB">
      <w:pPr>
        <w:pStyle w:val="ListParagraph"/>
        <w:rPr>
          <w:rFonts w:ascii="Source Serif Pro Light" w:hAnsi="Source Serif Pro Light" w:cs="Arial"/>
          <w:color w:val="1B2235"/>
          <w:sz w:val="22"/>
          <w:szCs w:val="22"/>
        </w:rPr>
      </w:pPr>
    </w:p>
    <w:p w14:paraId="2D1059B8" w14:textId="7DA8A284" w:rsidR="00FC11E8" w:rsidRPr="00003489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We have seen this supply and demand balance inverted in many major cities nationwide 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>during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the COVID-19 pandemic. 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In several regions, </w:t>
      </w:r>
      <w:r w:rsidR="00FC11E8" w:rsidRPr="00003489">
        <w:rPr>
          <w:rFonts w:ascii="Source Serif Pro Light" w:hAnsi="Source Serif Pro Light" w:cs="Arial"/>
          <w:color w:val="1B2235"/>
          <w:sz w:val="22"/>
          <w:szCs w:val="22"/>
        </w:rPr>
        <w:t>residents flock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>ed from cities</w:t>
      </w:r>
      <w:r w:rsidR="00FC11E8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to the suburbs and exurbs during 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the </w:t>
      </w:r>
      <w:r w:rsidR="00FC11E8" w:rsidRPr="00003489">
        <w:rPr>
          <w:rFonts w:ascii="Source Serif Pro Light" w:hAnsi="Source Serif Pro Light" w:cs="Arial"/>
          <w:color w:val="1B2235"/>
          <w:sz w:val="22"/>
          <w:szCs w:val="22"/>
        </w:rPr>
        <w:t>pandemic-fueled lockdowns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>. In these areas, supply began to outpace demand, yielding significant rent decreases.</w:t>
      </w:r>
      <w:r w:rsidR="00FC11E8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In the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San Francisco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area, rents fell by nearly </w:t>
      </w:r>
      <w:proofErr w:type="spellStart"/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nearly</w:t>
      </w:r>
      <w:proofErr w:type="spellEnd"/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19% 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>year</w:t>
      </w:r>
      <w:r w:rsidR="00196592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>over</w:t>
      </w:r>
      <w:r w:rsidR="00196592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>year by the end of 2020, according to RealPage.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Similarly, rents fell by over 14% in San Jose, 5.6% in the Los Angeles and 5% in Oakland.</w:t>
      </w:r>
    </w:p>
    <w:p w14:paraId="79D76912" w14:textId="77777777" w:rsidR="001551B7" w:rsidRPr="00003489" w:rsidRDefault="001551B7" w:rsidP="00203DFB">
      <w:pPr>
        <w:pStyle w:val="ListParagraph"/>
        <w:rPr>
          <w:rFonts w:ascii="Source Serif Pro Light" w:hAnsi="Source Serif Pro Light" w:cs="Arial"/>
          <w:color w:val="1B2235"/>
          <w:sz w:val="22"/>
          <w:szCs w:val="22"/>
        </w:rPr>
      </w:pPr>
    </w:p>
    <w:p w14:paraId="1E5339A6" w14:textId="558D06F1" w:rsidR="001551B7" w:rsidRPr="00003489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The evidence is clear: the best way to address our housing affordability crisis is to </w:t>
      </w:r>
      <w:r w:rsidR="00B80DD2" w:rsidRPr="00003489">
        <w:rPr>
          <w:rFonts w:ascii="Source Serif Pro Light" w:hAnsi="Source Serif Pro Light" w:cs="Arial"/>
          <w:color w:val="1B2235"/>
          <w:sz w:val="22"/>
          <w:szCs w:val="22"/>
        </w:rPr>
        <w:t>ensure supply can meet demand. That’s the only way to bring rents down.</w:t>
      </w:r>
    </w:p>
    <w:p w14:paraId="7F0AD130" w14:textId="77777777" w:rsidR="00801155" w:rsidRPr="00003489" w:rsidRDefault="00801155" w:rsidP="00C92384">
      <w:pPr>
        <w:rPr>
          <w:rFonts w:ascii="Source Serif Pro Light" w:hAnsi="Source Serif Pro Light" w:cs="Arial"/>
          <w:color w:val="1B2235"/>
          <w:sz w:val="22"/>
          <w:szCs w:val="22"/>
        </w:rPr>
      </w:pPr>
    </w:p>
    <w:p w14:paraId="5D081426" w14:textId="0A7E9F35" w:rsidR="00115FC4" w:rsidRPr="00003489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>American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s 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>are search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>ing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>for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solution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>s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to the housing affordability crisis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. </w:t>
      </w:r>
      <w:r w:rsidR="00EC23E2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And in lieu of </w:t>
      </w:r>
      <w:r w:rsidR="00A30CE4" w:rsidRPr="00003489">
        <w:rPr>
          <w:rFonts w:ascii="Source Serif Pro Light" w:hAnsi="Source Serif Pro Light" w:cs="Arial"/>
          <w:color w:val="1B2235"/>
          <w:sz w:val="22"/>
          <w:szCs w:val="22"/>
        </w:rPr>
        <w:t>innovative</w:t>
      </w:r>
      <w:r w:rsidR="00D41CF5" w:rsidRPr="00003489">
        <w:rPr>
          <w:rFonts w:ascii="Source Serif Pro Light" w:hAnsi="Source Serif Pro Light" w:cs="Arial"/>
          <w:color w:val="1B2235"/>
          <w:sz w:val="22"/>
          <w:szCs w:val="22"/>
        </w:rPr>
        <w:t>, proactive</w:t>
      </w:r>
      <w:r w:rsidR="00A30CE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solutions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, some </w:t>
      </w:r>
      <w:r w:rsidR="00480FBB" w:rsidRPr="00003489">
        <w:rPr>
          <w:rFonts w:ascii="Source Serif Pro Light" w:hAnsi="Source Serif Pro Light" w:cs="Arial"/>
          <w:color w:val="1B2235"/>
          <w:sz w:val="22"/>
          <w:szCs w:val="22"/>
        </w:rPr>
        <w:t>will advocate for antiquated</w:t>
      </w:r>
      <w:r w:rsidR="00A30CE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rent control policies that </w:t>
      </w:r>
      <w:r w:rsidR="00167558" w:rsidRPr="00003489">
        <w:rPr>
          <w:rFonts w:ascii="Source Serif Pro Light" w:hAnsi="Source Serif Pro Light" w:cs="Arial"/>
          <w:color w:val="1B2235"/>
          <w:sz w:val="22"/>
          <w:szCs w:val="22"/>
        </w:rPr>
        <w:t>are universally known</w:t>
      </w:r>
      <w:r w:rsidR="006F40AA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167558" w:rsidRPr="00003489">
        <w:rPr>
          <w:rFonts w:ascii="Source Serif Pro Light" w:hAnsi="Source Serif Pro Light" w:cs="Arial"/>
          <w:color w:val="1B2235"/>
          <w:sz w:val="22"/>
          <w:szCs w:val="22"/>
        </w:rPr>
        <w:t>to be</w:t>
      </w:r>
      <w:r w:rsidR="00A30CE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ineffective and harmful. 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 </w:t>
      </w:r>
    </w:p>
    <w:p w14:paraId="49370323" w14:textId="77777777" w:rsidR="006F40AA" w:rsidRPr="00003489" w:rsidRDefault="006F40AA" w:rsidP="00B14863">
      <w:pPr>
        <w:rPr>
          <w:rFonts w:ascii="Source Serif Pro Light" w:hAnsi="Source Serif Pro Light" w:cs="Arial"/>
          <w:color w:val="1B2235"/>
          <w:sz w:val="22"/>
          <w:szCs w:val="22"/>
        </w:rPr>
      </w:pPr>
    </w:p>
    <w:p w14:paraId="421BCB83" w14:textId="77777777" w:rsidR="00AA760B" w:rsidRPr="00D412EC" w:rsidRDefault="00AA760B" w:rsidP="00AA760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>We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need </w:t>
      </w:r>
      <w:r>
        <w:rPr>
          <w:rFonts w:ascii="Source Serif Pro Light" w:hAnsi="Source Serif Pro Light" w:cs="Arial"/>
          <w:color w:val="1B2235"/>
          <w:sz w:val="22"/>
        </w:rPr>
        <w:t>proven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solutions that will lead to a wider range of housing options, </w:t>
      </w:r>
      <w:proofErr w:type="gramStart"/>
      <w:r w:rsidRPr="00E2272D">
        <w:rPr>
          <w:rFonts w:ascii="Source Serif Pro Light" w:hAnsi="Source Serif Pro Light" w:cs="Arial"/>
          <w:color w:val="1B2235"/>
          <w:sz w:val="22"/>
        </w:rPr>
        <w:t>from apartments and duplexes,</w:t>
      </w:r>
      <w:proofErr w:type="gramEnd"/>
      <w:r w:rsidRPr="00E2272D">
        <w:rPr>
          <w:rFonts w:ascii="Source Serif Pro Light" w:hAnsi="Source Serif Pro Light" w:cs="Arial"/>
          <w:color w:val="1B2235"/>
          <w:sz w:val="22"/>
        </w:rPr>
        <w:t xml:space="preserve"> to single-family homes and townhouses.</w:t>
      </w:r>
    </w:p>
    <w:p w14:paraId="3F5B2659" w14:textId="77777777" w:rsidR="00AA760B" w:rsidRPr="00D96FAD" w:rsidRDefault="00AA760B" w:rsidP="00AA760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A00AB2">
        <w:rPr>
          <w:rFonts w:ascii="Source Serif Pro Light" w:hAnsi="Source Serif Pro Light" w:cs="Arial"/>
          <w:color w:val="1B2235"/>
          <w:sz w:val="22"/>
        </w:rPr>
        <w:t>First, we must address the tremendous shortage of homes and remove barriers to adding more supply.</w:t>
      </w:r>
      <w:r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6A5AE9">
        <w:rPr>
          <w:rFonts w:ascii="Source Serif Pro Light" w:hAnsi="Source Serif Pro Light" w:cs="Arial"/>
          <w:color w:val="1B2235"/>
          <w:sz w:val="22"/>
        </w:rPr>
        <w:t xml:space="preserve">The U.S. needs to build </w:t>
      </w:r>
      <w:hyperlink r:id="rId8" w:history="1">
        <w:r w:rsidRPr="006A5AE9">
          <w:rPr>
            <w:rStyle w:val="Hyperlink"/>
            <w:rFonts w:ascii="Source Serif Pro Light" w:hAnsi="Source Serif Pro Light" w:cs="Arial"/>
            <w:sz w:val="22"/>
          </w:rPr>
          <w:t>328,000 apartments every year</w:t>
        </w:r>
      </w:hyperlink>
      <w:r w:rsidRPr="006A5AE9">
        <w:rPr>
          <w:rFonts w:ascii="Source Serif Pro Light" w:hAnsi="Source Serif Pro Light" w:cs="Arial"/>
          <w:color w:val="1B2235"/>
          <w:sz w:val="22"/>
        </w:rPr>
        <w:t xml:space="preserve"> by 2030 – a mark we will not hit on our current path</w:t>
      </w:r>
      <w:r>
        <w:rPr>
          <w:rFonts w:ascii="Source Serif Pro Light" w:hAnsi="Source Serif Pro Light" w:cs="Arial"/>
          <w:color w:val="1B2235"/>
          <w:sz w:val="22"/>
        </w:rPr>
        <w:t xml:space="preserve">. </w:t>
      </w:r>
      <w:r w:rsidRPr="006A5AE9">
        <w:rPr>
          <w:rFonts w:ascii="Source Serif Pro Light" w:hAnsi="Source Serif Pro Light" w:cs="Arial"/>
          <w:color w:val="1B2235"/>
          <w:sz w:val="22"/>
        </w:rPr>
        <w:t xml:space="preserve">A wide variety of housing is the only way to ensure there is enough housing available to families of all income levels where they want to live. </w:t>
      </w:r>
    </w:p>
    <w:p w14:paraId="26DB024B" w14:textId="77777777" w:rsidR="00AA760B" w:rsidRDefault="00AA760B" w:rsidP="00AA760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6A5AE9">
        <w:rPr>
          <w:rFonts w:ascii="Source Serif Pro Light" w:hAnsi="Source Serif Pro Light" w:cs="Arial"/>
          <w:color w:val="1B2235"/>
          <w:sz w:val="22"/>
        </w:rPr>
        <w:t xml:space="preserve">Second, </w:t>
      </w:r>
      <w:r>
        <w:rPr>
          <w:rFonts w:ascii="Source Serif Pro Light" w:hAnsi="Source Serif Pro Light" w:cs="Arial"/>
          <w:color w:val="1B2235"/>
          <w:sz w:val="22"/>
        </w:rPr>
        <w:t xml:space="preserve">state and </w:t>
      </w:r>
      <w:r w:rsidRPr="006A5AE9">
        <w:rPr>
          <w:rFonts w:ascii="Source Serif Pro Light" w:hAnsi="Source Serif Pro Light" w:cs="Arial"/>
          <w:color w:val="1B2235"/>
          <w:sz w:val="22"/>
        </w:rPr>
        <w:t xml:space="preserve">local governments </w:t>
      </w:r>
      <w:r>
        <w:rPr>
          <w:rFonts w:ascii="Source Serif Pro Light" w:hAnsi="Source Serif Pro Light" w:cs="Arial"/>
          <w:color w:val="1B2235"/>
          <w:sz w:val="22"/>
        </w:rPr>
        <w:t>should explore</w:t>
      </w:r>
      <w:r w:rsidRPr="006A5AE9">
        <w:rPr>
          <w:rFonts w:ascii="Source Serif Pro Light" w:hAnsi="Source Serif Pro Light" w:cs="Arial"/>
          <w:color w:val="1B2235"/>
          <w:sz w:val="22"/>
        </w:rPr>
        <w:t xml:space="preserve"> creative, public-private partnership</w:t>
      </w:r>
      <w:r>
        <w:rPr>
          <w:rFonts w:ascii="Source Serif Pro Light" w:hAnsi="Source Serif Pro Light" w:cs="Arial"/>
          <w:color w:val="1B2235"/>
          <w:sz w:val="22"/>
        </w:rPr>
        <w:t>s</w:t>
      </w:r>
      <w:r w:rsidRPr="006A5AE9">
        <w:rPr>
          <w:rFonts w:ascii="Source Serif Pro Light" w:hAnsi="Source Serif Pro Light" w:cs="Arial"/>
          <w:color w:val="1B2235"/>
          <w:sz w:val="22"/>
        </w:rPr>
        <w:t xml:space="preserve"> to bring the price point down </w:t>
      </w:r>
      <w:r>
        <w:rPr>
          <w:rFonts w:ascii="Source Serif Pro Light" w:hAnsi="Source Serif Pro Light" w:cs="Arial"/>
          <w:color w:val="1B2235"/>
          <w:sz w:val="22"/>
        </w:rPr>
        <w:t>and</w:t>
      </w:r>
      <w:r w:rsidRPr="006A5AE9">
        <w:rPr>
          <w:rFonts w:ascii="Source Serif Pro Light" w:hAnsi="Source Serif Pro Light" w:cs="Arial"/>
          <w:color w:val="1B2235"/>
          <w:sz w:val="22"/>
        </w:rPr>
        <w:t xml:space="preserve"> create more affordable housing. </w:t>
      </w:r>
    </w:p>
    <w:p w14:paraId="3AF3C88B" w14:textId="77777777" w:rsidR="00AA760B" w:rsidRPr="00D57F3C" w:rsidRDefault="00AA760B" w:rsidP="00AA760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D96FAD">
        <w:rPr>
          <w:rFonts w:ascii="Source Serif Pro Light" w:hAnsi="Source Serif Pro Light" w:cs="Arial"/>
          <w:color w:val="1B2235"/>
          <w:sz w:val="22"/>
        </w:rPr>
        <w:t xml:space="preserve">Third, we must use targeted subsidies to help the neediest families today. </w:t>
      </w:r>
    </w:p>
    <w:p w14:paraId="35615968" w14:textId="77777777" w:rsidR="00AA760B" w:rsidRDefault="00AA760B" w:rsidP="00AA760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6888B746" w14:textId="67F13A6C" w:rsidR="00D93C55" w:rsidRPr="00003489" w:rsidRDefault="00480FB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California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has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learned the hard way that</w:t>
      </w:r>
      <w:r w:rsidR="003C47ED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rent control </w:t>
      </w:r>
      <w:r w:rsidR="003C47ED" w:rsidRPr="00003489">
        <w:rPr>
          <w:rFonts w:ascii="Source Serif Pro Light" w:hAnsi="Source Serif Pro Light" w:cs="Arial"/>
          <w:color w:val="1B2235"/>
          <w:sz w:val="22"/>
          <w:szCs w:val="22"/>
        </w:rPr>
        <w:t>policies have unintended consequences that far outweigh any benefits</w:t>
      </w:r>
      <w:r w:rsidR="00383C46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. </w:t>
      </w:r>
      <w:r w:rsidR="00B1778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For instance, </w:t>
      </w:r>
      <w:r w:rsidR="00D53B07" w:rsidRPr="00003489">
        <w:rPr>
          <w:rStyle w:val="Hyperlink"/>
          <w:rFonts w:ascii="Source Serif Pro Light" w:hAnsi="Source Serif Pro Light" w:cs="Arial"/>
          <w:color w:val="1B2235"/>
          <w:sz w:val="22"/>
          <w:szCs w:val="22"/>
        </w:rPr>
        <w:t>a</w:t>
      </w:r>
      <w:r w:rsidR="0096759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hyperlink r:id="rId9" w:history="1">
        <w:r w:rsidR="00967597" w:rsidRPr="00003489">
          <w:rPr>
            <w:rStyle w:val="Hyperlink"/>
            <w:rFonts w:ascii="Source Serif Pro Light" w:hAnsi="Source Serif Pro Light" w:cs="Arial"/>
            <w:color w:val="1B2235"/>
            <w:sz w:val="22"/>
            <w:szCs w:val="22"/>
          </w:rPr>
          <w:t>1995 rent control policy in San Francisco</w:t>
        </w:r>
      </w:hyperlink>
      <w:r w:rsidR="00B1778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96759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reduced rental-unit supply by 15 percent and made people </w:t>
      </w:r>
      <w:r w:rsidR="00D53B0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much </w:t>
      </w:r>
      <w:r w:rsidR="0096759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less likely to move over the medium and long term. </w:t>
      </w:r>
      <w:r w:rsidR="00D93C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That’s why California voters </w:t>
      </w:r>
      <w:r w:rsidR="00D93C55" w:rsidRPr="00003489">
        <w:rPr>
          <w:rFonts w:ascii="Source Serif Pro Light" w:hAnsi="Source Serif Pro Light" w:cs="Arial"/>
          <w:color w:val="1B2235"/>
          <w:sz w:val="22"/>
          <w:szCs w:val="22"/>
        </w:rPr>
        <w:lastRenderedPageBreak/>
        <w:t>resoundingly rejected ballot initiative</w:t>
      </w:r>
      <w:r w:rsidR="0031685A" w:rsidRPr="00003489">
        <w:rPr>
          <w:rFonts w:ascii="Source Serif Pro Light" w:hAnsi="Source Serif Pro Light" w:cs="Arial"/>
          <w:color w:val="1B2235"/>
          <w:sz w:val="22"/>
          <w:szCs w:val="22"/>
        </w:rPr>
        <w:t>s</w:t>
      </w:r>
      <w:r w:rsidR="00D93C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in 2018 </w:t>
      </w:r>
      <w:r w:rsidR="0031685A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and 2020 </w:t>
      </w:r>
      <w:r w:rsidR="00D93C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that would have broadened rent control across the state. </w:t>
      </w:r>
    </w:p>
    <w:p w14:paraId="292C0958" w14:textId="77777777" w:rsidR="00383C46" w:rsidRPr="00003489" w:rsidRDefault="00383C46" w:rsidP="001D0235">
      <w:pPr>
        <w:pStyle w:val="ListParagraph"/>
        <w:rPr>
          <w:rFonts w:ascii="Source Serif Pro Light" w:hAnsi="Source Serif Pro Light" w:cs="Arial"/>
          <w:color w:val="1B2235"/>
          <w:sz w:val="22"/>
          <w:szCs w:val="22"/>
        </w:rPr>
      </w:pPr>
    </w:p>
    <w:p w14:paraId="497B1D12" w14:textId="080B9397" w:rsidR="00D23559" w:rsidRPr="00AA760B" w:rsidRDefault="00AA760B" w:rsidP="00AA760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6A5AE9">
        <w:rPr>
          <w:rFonts w:ascii="Source Serif Pro Light" w:hAnsi="Source Serif Pro Light" w:cs="Arial"/>
          <w:color w:val="1B2235"/>
          <w:sz w:val="22"/>
        </w:rPr>
        <w:t xml:space="preserve">When considering rent control, </w:t>
      </w:r>
      <w:r>
        <w:rPr>
          <w:rFonts w:ascii="Source Serif Pro Light" w:hAnsi="Source Serif Pro Light" w:cs="Arial"/>
          <w:color w:val="1B2235"/>
          <w:sz w:val="22"/>
        </w:rPr>
        <w:t>California</w:t>
      </w:r>
      <w:r>
        <w:rPr>
          <w:rFonts w:ascii="Source Serif Pro Light" w:hAnsi="Source Serif Pro Light" w:cs="Arial"/>
          <w:color w:val="1B2235"/>
          <w:sz w:val="22"/>
        </w:rPr>
        <w:t xml:space="preserve"> lawmakers</w:t>
      </w:r>
      <w:r w:rsidRPr="006A5AE9">
        <w:rPr>
          <w:rFonts w:ascii="Source Serif Pro Light" w:hAnsi="Source Serif Pro Light" w:cs="Arial"/>
          <w:color w:val="1B2235"/>
          <w:sz w:val="22"/>
        </w:rPr>
        <w:t xml:space="preserve"> would be better served implementing  </w:t>
      </w:r>
      <w:hyperlink r:id="rId10" w:history="1">
        <w:r w:rsidRPr="006A5AE9">
          <w:rPr>
            <w:rStyle w:val="Hyperlink"/>
            <w:rFonts w:ascii="Source Serif Pro Light" w:hAnsi="Source Serif Pro Light" w:cs="Arial"/>
            <w:sz w:val="22"/>
          </w:rPr>
          <w:t>solutions</w:t>
        </w:r>
      </w:hyperlink>
      <w:r w:rsidRPr="006A5AE9">
        <w:rPr>
          <w:rFonts w:ascii="Source Serif Pro Light" w:hAnsi="Source Serif Pro Light" w:cs="Arial"/>
          <w:color w:val="1B2235"/>
          <w:sz w:val="22"/>
        </w:rPr>
        <w:t xml:space="preserve"> that will truly make a dent in addressing our housing affordability challenges. </w:t>
      </w:r>
    </w:p>
    <w:sectPr w:rsidR="00D23559" w:rsidRPr="00AA760B" w:rsidSect="00814778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DD91" w14:textId="77777777" w:rsidR="00B5041B" w:rsidRDefault="00B5041B" w:rsidP="00A82A87">
      <w:r>
        <w:separator/>
      </w:r>
    </w:p>
  </w:endnote>
  <w:endnote w:type="continuationSeparator" w:id="0">
    <w:p w14:paraId="12EFBD45" w14:textId="77777777" w:rsidR="00B5041B" w:rsidRDefault="00B5041B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 Light">
    <w:panose1 w:val="02040303050405020204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78EF1957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74E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2C5B" w14:textId="77777777" w:rsidR="00B5041B" w:rsidRDefault="00B5041B" w:rsidP="00A82A87">
      <w:r>
        <w:separator/>
      </w:r>
    </w:p>
  </w:footnote>
  <w:footnote w:type="continuationSeparator" w:id="0">
    <w:p w14:paraId="390793A5" w14:textId="77777777" w:rsidR="00B5041B" w:rsidRDefault="00B5041B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3489"/>
    <w:rsid w:val="000074D5"/>
    <w:rsid w:val="00024832"/>
    <w:rsid w:val="000474E8"/>
    <w:rsid w:val="00093E83"/>
    <w:rsid w:val="000B2485"/>
    <w:rsid w:val="000E3657"/>
    <w:rsid w:val="000F34B9"/>
    <w:rsid w:val="00115FC4"/>
    <w:rsid w:val="001551B7"/>
    <w:rsid w:val="00162C72"/>
    <w:rsid w:val="00167558"/>
    <w:rsid w:val="00185460"/>
    <w:rsid w:val="00196592"/>
    <w:rsid w:val="001C1B0D"/>
    <w:rsid w:val="001D0235"/>
    <w:rsid w:val="001D6FAA"/>
    <w:rsid w:val="001E18CD"/>
    <w:rsid w:val="00203DFB"/>
    <w:rsid w:val="00227F35"/>
    <w:rsid w:val="00231854"/>
    <w:rsid w:val="002B3CFC"/>
    <w:rsid w:val="002B42F9"/>
    <w:rsid w:val="002B4B80"/>
    <w:rsid w:val="0031685A"/>
    <w:rsid w:val="00335F57"/>
    <w:rsid w:val="00336420"/>
    <w:rsid w:val="0034573A"/>
    <w:rsid w:val="00361B84"/>
    <w:rsid w:val="00383C46"/>
    <w:rsid w:val="00397BDA"/>
    <w:rsid w:val="003C47ED"/>
    <w:rsid w:val="00434AFE"/>
    <w:rsid w:val="004513A8"/>
    <w:rsid w:val="00480FBB"/>
    <w:rsid w:val="0048260D"/>
    <w:rsid w:val="004A4627"/>
    <w:rsid w:val="004E6DA2"/>
    <w:rsid w:val="005A67E8"/>
    <w:rsid w:val="005B585F"/>
    <w:rsid w:val="006030E9"/>
    <w:rsid w:val="006200B0"/>
    <w:rsid w:val="00676213"/>
    <w:rsid w:val="0069087E"/>
    <w:rsid w:val="006A18CA"/>
    <w:rsid w:val="006A37B7"/>
    <w:rsid w:val="006E32BB"/>
    <w:rsid w:val="006E5758"/>
    <w:rsid w:val="006F40AA"/>
    <w:rsid w:val="0070374B"/>
    <w:rsid w:val="00721F96"/>
    <w:rsid w:val="00796081"/>
    <w:rsid w:val="007E4FC4"/>
    <w:rsid w:val="007F4CF0"/>
    <w:rsid w:val="007F762C"/>
    <w:rsid w:val="00801155"/>
    <w:rsid w:val="008053DC"/>
    <w:rsid w:val="008115D1"/>
    <w:rsid w:val="00814778"/>
    <w:rsid w:val="00833CD8"/>
    <w:rsid w:val="00845AB3"/>
    <w:rsid w:val="008B6108"/>
    <w:rsid w:val="009630D9"/>
    <w:rsid w:val="00967597"/>
    <w:rsid w:val="00973081"/>
    <w:rsid w:val="00976AA5"/>
    <w:rsid w:val="009A308D"/>
    <w:rsid w:val="009F2411"/>
    <w:rsid w:val="00A30CE4"/>
    <w:rsid w:val="00A42D69"/>
    <w:rsid w:val="00A4511B"/>
    <w:rsid w:val="00A5633B"/>
    <w:rsid w:val="00A573F4"/>
    <w:rsid w:val="00A82A87"/>
    <w:rsid w:val="00A84AF7"/>
    <w:rsid w:val="00A94442"/>
    <w:rsid w:val="00AA760B"/>
    <w:rsid w:val="00B14863"/>
    <w:rsid w:val="00B152A6"/>
    <w:rsid w:val="00B17784"/>
    <w:rsid w:val="00B21D36"/>
    <w:rsid w:val="00B40A0C"/>
    <w:rsid w:val="00B5041B"/>
    <w:rsid w:val="00B54ABA"/>
    <w:rsid w:val="00B7137A"/>
    <w:rsid w:val="00B80DD2"/>
    <w:rsid w:val="00B8524E"/>
    <w:rsid w:val="00BF17AC"/>
    <w:rsid w:val="00C02DD0"/>
    <w:rsid w:val="00C03ECA"/>
    <w:rsid w:val="00C0741B"/>
    <w:rsid w:val="00C30159"/>
    <w:rsid w:val="00C83387"/>
    <w:rsid w:val="00C87315"/>
    <w:rsid w:val="00C92384"/>
    <w:rsid w:val="00CF1FE5"/>
    <w:rsid w:val="00CF34A5"/>
    <w:rsid w:val="00D06E54"/>
    <w:rsid w:val="00D23559"/>
    <w:rsid w:val="00D41CF5"/>
    <w:rsid w:val="00D53B07"/>
    <w:rsid w:val="00D93C55"/>
    <w:rsid w:val="00DC4003"/>
    <w:rsid w:val="00E143F8"/>
    <w:rsid w:val="00E2272D"/>
    <w:rsid w:val="00E7113A"/>
    <w:rsid w:val="00EA6048"/>
    <w:rsid w:val="00EC23E2"/>
    <w:rsid w:val="00ED2BFD"/>
    <w:rsid w:val="00ED5F57"/>
    <w:rsid w:val="00F03CC1"/>
    <w:rsid w:val="00F17090"/>
    <w:rsid w:val="00F62205"/>
    <w:rsid w:val="00F72BD0"/>
    <w:rsid w:val="00FC11E8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  <w:style w:type="paragraph" w:styleId="NormalWeb">
    <w:name w:val="Normal (Web)"/>
    <w:basedOn w:val="Normal"/>
    <w:uiPriority w:val="99"/>
    <w:unhideWhenUsed/>
    <w:rsid w:val="00003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hc.org/research-insight/research-report/US-apartment-demand-a-forward-loo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forgrowth.org/sites/default/files/2018-09/housing_underproductio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mhc.org/research-insight/research-report/the-impacts-of-rent-control-a-research-review-and-synthe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opinion/articles/2018-01-18/yup-rent-control-does-more-harm-than-goo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Microsoft Office User</cp:lastModifiedBy>
  <cp:revision>4</cp:revision>
  <cp:lastPrinted>2018-10-29T17:19:00Z</cp:lastPrinted>
  <dcterms:created xsi:type="dcterms:W3CDTF">2021-04-12T16:08:00Z</dcterms:created>
  <dcterms:modified xsi:type="dcterms:W3CDTF">2022-02-08T20:27:00Z</dcterms:modified>
</cp:coreProperties>
</file>